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Asset finance proposal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Asset finance pack · for asset finance and leasing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hair salon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Asset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Supplier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Cost including VAT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Deposit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Term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£20,000 – £58,000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£10,000 – £23,000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£25,782/mo · £309,378/yr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£15,664: the estimated balance of advances already running (£2,611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-£3,301/mo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£1,027 – £1,893/mo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£3,301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£1,521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£9,107</w:t>
            </w:r>
            <w:r>
              <w:rPr>
                <w:color w:val="64748B"/>
                <w:sz w:val="13"/>
                <w:szCs w:val="13"/>
              </w:rPr>
              <w:br/>
              <w:t xml:space="preserve">157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Capify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£1,089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£4,353</w:t>
            </w:r>
            <w:r>
              <w:rPr>
                <w:color w:val="64748B"/>
                <w:sz w:val="13"/>
                <w:szCs w:val="13"/>
              </w:rPr>
              <w:br/>
              <w:t xml:space="preserve">105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4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£690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£4,140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</w:tbl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£3,559/mo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-£54,600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-£8,400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-£1,400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-£27,238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-£4,540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-£115,738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-£19,290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£38,951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£6,492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£21,351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£3,559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£2,500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-£1,500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£27,351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£4,559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-£5,022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-£4,828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-£17,518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-£22,572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-£17,594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-£18,220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-£21,656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-£18,178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£8,022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£7,804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£7,230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£5,206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£7,089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£5,806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£4,509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£3,980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£1,813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£3,830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£15,000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£13,500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£4,306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£18,009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£2,330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2 cash advances running at the same time (YouLend, Capify).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£9,000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-£9,000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542 transactions from 34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Asset finance proposal summary · Example business</dc:title>
  <dc:creator>LoanLogs</dc:creator>
</cp:coreProperties>
</file>