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Lending report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LoanLogs standard · for any lender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small café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£8,890/mo · £106,682/yr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Existing repayments already use all the cash a lender would normally allow for debt.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£14,738: the estimated balance of advances already running (£2,456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-£2,456/mo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– £0/mo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£2,456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£949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£5,714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Liberis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£4,998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365 Business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£677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£2,725</w:t>
            </w:r>
            <w:r>
              <w:rPr>
                <w:color w:val="64748B"/>
                <w:sz w:val="13"/>
                <w:szCs w:val="13"/>
              </w:rPr>
              <w:br/>
              <w:t xml:space="preserve">123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6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7"/>
                <w:szCs w:val="17"/>
              </w:rPr>
              <w:t xml:space="preserve">-£1,423/mo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1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-£21,143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-£3,524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-£48,443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-£8,074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£4,898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£816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-£8,539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-£1,423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-£7,939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-£1,323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-£2,523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-£3,437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-£3,543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-£3,944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-£7,073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-£8,859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-£7,937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-£8,093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-£8,494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£3,370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£520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-£1,258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£1,579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-£977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-£1,073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-£2,438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-£3,738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£5,100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£679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£4,027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-£2,792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-£3,338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-£4,638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3 cash advances running at the same time (YouLend, Liberis, 365 Business Finance).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4 returned or unpaid payments.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Overdrawn on 97 days (longest run 65 days, lowest balance -£8,923).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No HMRC payments seen. Lenders may ask how VAT and PAYE are paid.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Gambling: £1,638 paid to betting or gaming sites.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£5,400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-£5,400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822 transactions from 31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Lending report · Example business</dc:title>
  <dc:creator>LoanLogs</dc:creator>
</cp:coreProperties>
</file>