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Term loan submission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Term loan pack · for banks and unsecured term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small café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Term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Purpose of funds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Security / personal guarantee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£8,890/mo · £106,682/yr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Existing repayments already use all the cash a lender would normally allow for debt.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£14,738: the estimated balance of advances already running (£2,456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-£2,456/mo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– £0/mo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7"/>
                <w:szCs w:val="17"/>
              </w:rPr>
              <w:t xml:space="preserve">-£1,423/mo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1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-£21,143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-£3,524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-£48,443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-£8,074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£4,898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£816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-£8,539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-£1,423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-£7,939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-£1,323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-£2,523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-£3,437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-£3,543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-£3,944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-£7,073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-£8,859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-£7,937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-£8,093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-£8,494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£3,370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£520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-£1,258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£1,579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-£977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-£1,073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-£2,438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-£3,738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£5,100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£679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£4,027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-£2,792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-£3,338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-£4,638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£2,456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£949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£5,714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Liberis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£4,998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365 Business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£677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£2,725</w:t>
            </w:r>
            <w:r>
              <w:rPr>
                <w:color w:val="64748B"/>
                <w:sz w:val="13"/>
                <w:szCs w:val="13"/>
              </w:rPr>
              <w:br/>
              <w:t xml:space="preserve">123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6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</w:tbl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£5,400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-£5,400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3 cash advances running at the same time (YouLend, Liberis, 365 Business Finance).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4 returned or unpaid payments.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Overdrawn on 97 days (longest run 65 days, lowest balance -£8,923).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No HMRC payments seen. Lenders may ask how VAT and PAYE are paid.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Gambling: £1,638 paid to betting or gaming sites.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822 transactions from 31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Term loan submission summary · Example business</dc:title>
  <dc:creator>LoanLogs</dc:creator>
</cp:coreProperties>
</file>